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00E6" w14:textId="0881FDB7" w:rsidR="008C5D69" w:rsidRPr="00840450" w:rsidRDefault="00840450" w:rsidP="00840450">
      <w:pPr>
        <w:spacing w:line="360" w:lineRule="auto"/>
        <w:jc w:val="center"/>
        <w:rPr>
          <w:rFonts w:ascii="Abadi" w:hAnsi="Abadi"/>
          <w:b/>
          <w:bCs/>
          <w:sz w:val="24"/>
          <w:szCs w:val="24"/>
        </w:rPr>
      </w:pPr>
      <w:r w:rsidRPr="00840450">
        <w:rPr>
          <w:rFonts w:ascii="Abadi" w:hAnsi="Abadi"/>
          <w:b/>
          <w:bCs/>
          <w:sz w:val="24"/>
          <w:szCs w:val="24"/>
        </w:rPr>
        <w:t>PRINCIPALES NORMAS JURÍDICAS QUE REGULAN NEGOCIOS DIGITALES EN MÉXICO</w:t>
      </w:r>
    </w:p>
    <w:p w14:paraId="411921CA" w14:textId="77777777" w:rsidR="008C5D69" w:rsidRPr="00840450" w:rsidRDefault="008C5D69" w:rsidP="00840450">
      <w:pPr>
        <w:spacing w:line="360" w:lineRule="auto"/>
        <w:jc w:val="both"/>
        <w:rPr>
          <w:rFonts w:ascii="Abadi" w:hAnsi="Abadi"/>
          <w:b/>
          <w:bCs/>
          <w:sz w:val="24"/>
          <w:szCs w:val="24"/>
        </w:rPr>
      </w:pPr>
      <w:r w:rsidRPr="00840450">
        <w:rPr>
          <w:rFonts w:ascii="Segoe UI Emoji" w:hAnsi="Segoe UI Emoji" w:cs="Segoe UI Emoji"/>
          <w:b/>
          <w:bCs/>
          <w:sz w:val="24"/>
          <w:szCs w:val="24"/>
        </w:rPr>
        <w:t>📌</w:t>
      </w:r>
      <w:r w:rsidRPr="00840450">
        <w:rPr>
          <w:rFonts w:ascii="Abadi" w:hAnsi="Abadi"/>
          <w:b/>
          <w:bCs/>
          <w:sz w:val="24"/>
          <w:szCs w:val="24"/>
        </w:rPr>
        <w:t xml:space="preserve"> Introducción</w:t>
      </w:r>
    </w:p>
    <w:p w14:paraId="3D1E6008" w14:textId="7DEEF9E4" w:rsidR="008C5D69" w:rsidRPr="00840450" w:rsidRDefault="008C5D69" w:rsidP="00840450">
      <w:pPr>
        <w:spacing w:line="360" w:lineRule="auto"/>
        <w:jc w:val="both"/>
        <w:rPr>
          <w:rFonts w:ascii="Abadi" w:hAnsi="Abadi"/>
          <w:sz w:val="24"/>
          <w:szCs w:val="24"/>
        </w:rPr>
      </w:pPr>
      <w:r w:rsidRPr="00840450">
        <w:rPr>
          <w:rFonts w:ascii="Abadi" w:hAnsi="Abadi"/>
          <w:sz w:val="24"/>
          <w:szCs w:val="24"/>
        </w:rPr>
        <w:t>En la actualidad, los negocios digitales representan una de las formas más dinámicas y en constante crecimiento de la actividad económica en México. El auge del comercio electrónico, las plataformas digitales y los servicios en línea ha transformado la manera en que las empresas interactúan con los consumidores y gestionan sus procesos internos. Sin embargo, este entorno digital también implica nuevos retos en materia de legalidad, seguridad y confianza, tanto para los proveedores como para los usuarios. Por ello, resulta indispensable conocer las principales normas jurídicas que regulan estas actividades, entre las que destacan aquellas relacionadas con la protección de datos personales, la firma electrónica, la protección al consumidor y la validez de los mensajes de datos. Explorar este marco normativo permite no solo comprender las obligaciones legales de los negocios digitales, sino también identificar las garantías con las que cuentan los consumidores en sus transacciones en línea.</w:t>
      </w:r>
    </w:p>
    <w:p w14:paraId="6CC1C519" w14:textId="160F6AF4" w:rsidR="008C5D69" w:rsidRPr="00840450" w:rsidRDefault="008C5D69" w:rsidP="00840450">
      <w:pPr>
        <w:spacing w:line="360" w:lineRule="auto"/>
        <w:jc w:val="both"/>
        <w:rPr>
          <w:rFonts w:ascii="Abadi" w:hAnsi="Abadi"/>
          <w:b/>
          <w:bCs/>
          <w:sz w:val="24"/>
          <w:szCs w:val="24"/>
        </w:rPr>
      </w:pPr>
      <w:r w:rsidRPr="00840450">
        <w:rPr>
          <w:rFonts w:ascii="Segoe UI Emoji" w:hAnsi="Segoe UI Emoji" w:cs="Segoe UI Emoji"/>
          <w:b/>
          <w:bCs/>
          <w:sz w:val="24"/>
          <w:szCs w:val="24"/>
        </w:rPr>
        <w:t>📌</w:t>
      </w:r>
      <w:r w:rsidRPr="00840450">
        <w:rPr>
          <w:rFonts w:ascii="Abadi" w:hAnsi="Abadi"/>
          <w:b/>
          <w:bCs/>
          <w:sz w:val="24"/>
          <w:szCs w:val="24"/>
        </w:rPr>
        <w:t xml:space="preserve"> Listado de las principales normas jurídicas</w:t>
      </w:r>
    </w:p>
    <w:tbl>
      <w:tblPr>
        <w:tblStyle w:val="Tablaconcuadrcula4-nfasis1"/>
        <w:tblW w:w="9209" w:type="dxa"/>
        <w:tblLook w:val="04A0" w:firstRow="1" w:lastRow="0" w:firstColumn="1" w:lastColumn="0" w:noHBand="0" w:noVBand="1"/>
      </w:tblPr>
      <w:tblGrid>
        <w:gridCol w:w="2322"/>
        <w:gridCol w:w="2918"/>
        <w:gridCol w:w="3969"/>
      </w:tblGrid>
      <w:tr w:rsidR="008C5D69" w:rsidRPr="00840450" w14:paraId="22FDF350" w14:textId="77777777" w:rsidTr="008C5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1F5A89" w14:textId="53F5AAAB" w:rsidR="008C5D69" w:rsidRPr="00840450" w:rsidRDefault="008C5D69" w:rsidP="00840450">
            <w:pPr>
              <w:spacing w:after="160" w:line="360" w:lineRule="auto"/>
              <w:jc w:val="center"/>
              <w:rPr>
                <w:rFonts w:ascii="Abadi" w:hAnsi="Abadi"/>
                <w:sz w:val="24"/>
                <w:szCs w:val="24"/>
              </w:rPr>
            </w:pPr>
            <w:r w:rsidRPr="00840450">
              <w:rPr>
                <w:rFonts w:ascii="Abadi" w:hAnsi="Abadi"/>
                <w:sz w:val="24"/>
                <w:szCs w:val="24"/>
              </w:rPr>
              <w:t>Norma</w:t>
            </w:r>
          </w:p>
        </w:tc>
        <w:tc>
          <w:tcPr>
            <w:tcW w:w="2918" w:type="dxa"/>
            <w:hideMark/>
          </w:tcPr>
          <w:p w14:paraId="3DE11196" w14:textId="51DEB780" w:rsidR="008C5D69" w:rsidRPr="00840450" w:rsidRDefault="008C5D69" w:rsidP="0084045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badi" w:hAnsi="Abadi"/>
                <w:sz w:val="24"/>
                <w:szCs w:val="24"/>
              </w:rPr>
            </w:pPr>
            <w:r w:rsidRPr="00840450">
              <w:rPr>
                <w:rFonts w:ascii="Abadi" w:hAnsi="Abadi"/>
                <w:sz w:val="24"/>
                <w:szCs w:val="24"/>
              </w:rPr>
              <w:t>Objeto / alcance</w:t>
            </w:r>
          </w:p>
        </w:tc>
        <w:tc>
          <w:tcPr>
            <w:tcW w:w="3969" w:type="dxa"/>
            <w:hideMark/>
          </w:tcPr>
          <w:p w14:paraId="7E6C7CD5" w14:textId="74C2F3D4" w:rsidR="008C5D69" w:rsidRPr="00840450" w:rsidRDefault="008C5D69" w:rsidP="0084045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badi" w:hAnsi="Abadi"/>
                <w:sz w:val="24"/>
                <w:szCs w:val="24"/>
              </w:rPr>
            </w:pPr>
            <w:r w:rsidRPr="00840450">
              <w:rPr>
                <w:rFonts w:ascii="Abadi" w:hAnsi="Abadi"/>
                <w:sz w:val="24"/>
                <w:szCs w:val="24"/>
              </w:rPr>
              <w:t>Aspectos relevantes para negocios digitales</w:t>
            </w:r>
          </w:p>
        </w:tc>
      </w:tr>
      <w:tr w:rsidR="008C5D69" w:rsidRPr="00840450" w14:paraId="22310EB8" w14:textId="77777777" w:rsidTr="008C5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42513D" w14:textId="77777777" w:rsidR="00840450" w:rsidRDefault="00840450" w:rsidP="00840450">
            <w:pPr>
              <w:spacing w:after="160" w:line="360" w:lineRule="auto"/>
              <w:jc w:val="both"/>
              <w:rPr>
                <w:rFonts w:ascii="Abadi" w:hAnsi="Abadi"/>
                <w:b w:val="0"/>
                <w:bCs w:val="0"/>
                <w:sz w:val="18"/>
                <w:szCs w:val="18"/>
              </w:rPr>
            </w:pPr>
          </w:p>
          <w:p w14:paraId="036C0854" w14:textId="02E701F2" w:rsidR="008C5D69" w:rsidRPr="00840450" w:rsidRDefault="008C5D69" w:rsidP="00840450">
            <w:pPr>
              <w:spacing w:after="160" w:line="360" w:lineRule="auto"/>
              <w:jc w:val="both"/>
              <w:rPr>
                <w:rFonts w:ascii="Abadi" w:hAnsi="Abadi"/>
                <w:sz w:val="18"/>
                <w:szCs w:val="18"/>
              </w:rPr>
            </w:pPr>
            <w:r w:rsidRPr="00840450">
              <w:rPr>
                <w:rFonts w:ascii="Abadi" w:hAnsi="Abadi"/>
                <w:sz w:val="18"/>
                <w:szCs w:val="18"/>
              </w:rPr>
              <w:t>Ley Federal de Protección de Datos Personales en Posesión de los Particulares (LFPDPPP)</w:t>
            </w:r>
          </w:p>
        </w:tc>
        <w:tc>
          <w:tcPr>
            <w:tcW w:w="2918" w:type="dxa"/>
            <w:hideMark/>
          </w:tcPr>
          <w:p w14:paraId="20455B10" w14:textId="77777777" w:rsidR="00840450" w:rsidRDefault="00840450"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p>
          <w:p w14:paraId="62881DD5" w14:textId="5233976F" w:rsidR="008C5D69" w:rsidRPr="00840450" w:rsidRDefault="008C5D69"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r w:rsidRPr="00840450">
              <w:rPr>
                <w:rFonts w:ascii="Abadi" w:hAnsi="Abadi"/>
                <w:sz w:val="18"/>
                <w:szCs w:val="18"/>
              </w:rPr>
              <w:t xml:space="preserve">Regula el tratamiento legítimo, controlado e informado de los datos personales de personas físicas por parte de particulares. </w:t>
            </w:r>
            <w:hyperlink r:id="rId5" w:tgtFrame="_blank" w:history="1">
              <w:r w:rsidRPr="00840450">
                <w:rPr>
                  <w:rStyle w:val="Hipervnculo"/>
                  <w:rFonts w:ascii="Abadi" w:hAnsi="Abadi"/>
                  <w:sz w:val="18"/>
                  <w:szCs w:val="18"/>
                </w:rPr>
                <w:t>Cámara de Diputados+2Salesforce+2</w:t>
              </w:r>
            </w:hyperlink>
          </w:p>
        </w:tc>
        <w:tc>
          <w:tcPr>
            <w:tcW w:w="3969" w:type="dxa"/>
            <w:hideMark/>
          </w:tcPr>
          <w:p w14:paraId="1E43812B" w14:textId="77777777" w:rsidR="00840450" w:rsidRDefault="00840450"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p>
          <w:p w14:paraId="1AED71BD" w14:textId="1FC33135" w:rsidR="008C5D69" w:rsidRPr="00840450" w:rsidRDefault="008C5D69"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r w:rsidRPr="00840450">
              <w:rPr>
                <w:rFonts w:ascii="Abadi" w:hAnsi="Abadi"/>
                <w:sz w:val="18"/>
                <w:szCs w:val="18"/>
              </w:rPr>
              <w:t>Aviso de privacidad, consentimiento informado, derechos ARCO (Acceso, Rectificación, Cancelación, Oposición), obligaciones de seguridad, regulaciones sobre transferencias y tratamiento de datos sensibles. Importante para tiendas en línea, plataformas digitales que recolectan datos de clientes.</w:t>
            </w:r>
          </w:p>
        </w:tc>
      </w:tr>
      <w:tr w:rsidR="008C5D69" w:rsidRPr="00840450" w14:paraId="7FE66093" w14:textId="77777777" w:rsidTr="008C5D69">
        <w:tc>
          <w:tcPr>
            <w:cnfStyle w:val="001000000000" w:firstRow="0" w:lastRow="0" w:firstColumn="1" w:lastColumn="0" w:oddVBand="0" w:evenVBand="0" w:oddHBand="0" w:evenHBand="0" w:firstRowFirstColumn="0" w:firstRowLastColumn="0" w:lastRowFirstColumn="0" w:lastRowLastColumn="0"/>
            <w:tcW w:w="0" w:type="auto"/>
            <w:hideMark/>
          </w:tcPr>
          <w:p w14:paraId="629E61E6" w14:textId="77777777" w:rsidR="00840450" w:rsidRDefault="00840450" w:rsidP="00840450">
            <w:pPr>
              <w:spacing w:after="160" w:line="360" w:lineRule="auto"/>
              <w:jc w:val="both"/>
              <w:rPr>
                <w:rFonts w:ascii="Abadi" w:hAnsi="Abadi"/>
                <w:b w:val="0"/>
                <w:bCs w:val="0"/>
                <w:sz w:val="18"/>
                <w:szCs w:val="18"/>
              </w:rPr>
            </w:pPr>
          </w:p>
          <w:p w14:paraId="4F0E5F04" w14:textId="7811EC2D" w:rsidR="008C5D69" w:rsidRPr="00840450" w:rsidRDefault="008C5D69" w:rsidP="00840450">
            <w:pPr>
              <w:spacing w:after="160" w:line="360" w:lineRule="auto"/>
              <w:jc w:val="both"/>
              <w:rPr>
                <w:rFonts w:ascii="Abadi" w:hAnsi="Abadi"/>
                <w:sz w:val="18"/>
                <w:szCs w:val="18"/>
              </w:rPr>
            </w:pPr>
            <w:r w:rsidRPr="00840450">
              <w:rPr>
                <w:rFonts w:ascii="Abadi" w:hAnsi="Abadi"/>
                <w:sz w:val="18"/>
                <w:szCs w:val="18"/>
              </w:rPr>
              <w:t>Reglamento de la LFPDPPP</w:t>
            </w:r>
          </w:p>
        </w:tc>
        <w:tc>
          <w:tcPr>
            <w:tcW w:w="2918" w:type="dxa"/>
            <w:hideMark/>
          </w:tcPr>
          <w:p w14:paraId="3FE720B8" w14:textId="77777777" w:rsidR="00840450" w:rsidRDefault="00840450"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p>
          <w:p w14:paraId="756002CD" w14:textId="711EA685" w:rsidR="008C5D69" w:rsidRPr="00840450" w:rsidRDefault="008C5D69"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r w:rsidRPr="00840450">
              <w:rPr>
                <w:rFonts w:ascii="Abadi" w:hAnsi="Abadi"/>
                <w:sz w:val="18"/>
                <w:szCs w:val="18"/>
              </w:rPr>
              <w:t xml:space="preserve">Desarrolla aspectos técnicos y operativos de la ley: plazos, obligaciones detalladas, medidas de seguridad. </w:t>
            </w:r>
            <w:hyperlink r:id="rId6" w:tgtFrame="_blank" w:history="1">
              <w:r w:rsidRPr="00840450">
                <w:rPr>
                  <w:rStyle w:val="Hipervnculo"/>
                  <w:rFonts w:ascii="Abadi" w:hAnsi="Abadi"/>
                  <w:sz w:val="18"/>
                  <w:szCs w:val="18"/>
                </w:rPr>
                <w:t>dlapiperdataprotection.com</w:t>
              </w:r>
            </w:hyperlink>
          </w:p>
        </w:tc>
        <w:tc>
          <w:tcPr>
            <w:tcW w:w="3969" w:type="dxa"/>
            <w:hideMark/>
          </w:tcPr>
          <w:p w14:paraId="2A40CCDD" w14:textId="77777777" w:rsidR="00840450" w:rsidRDefault="00840450"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p>
          <w:p w14:paraId="7F587751" w14:textId="20DF1BF8" w:rsidR="008C5D69" w:rsidRPr="00840450" w:rsidRDefault="008C5D69"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r w:rsidRPr="00840450">
              <w:rPr>
                <w:rFonts w:ascii="Abadi" w:hAnsi="Abadi"/>
                <w:sz w:val="18"/>
                <w:szCs w:val="18"/>
              </w:rPr>
              <w:t>Define cómo implementar protección de datos, almacenamiento, medidas de seguridad, responsabilidad, sanciones.</w:t>
            </w:r>
          </w:p>
        </w:tc>
      </w:tr>
      <w:tr w:rsidR="008C5D69" w:rsidRPr="00840450" w14:paraId="1602F0D4" w14:textId="77777777" w:rsidTr="008C5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13D4DF" w14:textId="1EBF09F7" w:rsidR="008C5D69" w:rsidRPr="00840450" w:rsidRDefault="008C5D69" w:rsidP="00840450">
            <w:pPr>
              <w:spacing w:after="160" w:line="360" w:lineRule="auto"/>
              <w:jc w:val="both"/>
              <w:rPr>
                <w:rFonts w:ascii="Abadi" w:hAnsi="Abadi"/>
                <w:sz w:val="18"/>
                <w:szCs w:val="18"/>
              </w:rPr>
            </w:pPr>
            <w:r w:rsidRPr="00840450">
              <w:rPr>
                <w:rFonts w:ascii="Abadi" w:hAnsi="Abadi"/>
                <w:sz w:val="18"/>
                <w:szCs w:val="18"/>
              </w:rPr>
              <w:lastRenderedPageBreak/>
              <w:t>Ley de Firma Electrónica Avanzada (LFEA)</w:t>
            </w:r>
          </w:p>
        </w:tc>
        <w:tc>
          <w:tcPr>
            <w:tcW w:w="2918" w:type="dxa"/>
            <w:hideMark/>
          </w:tcPr>
          <w:p w14:paraId="47DA5763" w14:textId="721D2FC5" w:rsidR="008C5D69" w:rsidRPr="00840450" w:rsidRDefault="008C5D69"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r w:rsidRPr="00840450">
              <w:rPr>
                <w:rFonts w:ascii="Abadi" w:hAnsi="Abadi"/>
                <w:sz w:val="18"/>
                <w:szCs w:val="18"/>
              </w:rPr>
              <w:t xml:space="preserve">Establece el reconocimiento legal de la firma electrónica avanzada, los requisitos para su generación, uso y conservación. </w:t>
            </w:r>
            <w:hyperlink r:id="rId7" w:tgtFrame="_blank" w:history="1">
              <w:r w:rsidRPr="00840450">
                <w:rPr>
                  <w:rStyle w:val="Hipervnculo"/>
                  <w:rFonts w:ascii="Abadi" w:hAnsi="Abadi"/>
                  <w:sz w:val="18"/>
                  <w:szCs w:val="18"/>
                </w:rPr>
                <w:t>Cámara de Diputados+2Docusign+2</w:t>
              </w:r>
            </w:hyperlink>
          </w:p>
        </w:tc>
        <w:tc>
          <w:tcPr>
            <w:tcW w:w="3969" w:type="dxa"/>
            <w:hideMark/>
          </w:tcPr>
          <w:p w14:paraId="1E574BC8" w14:textId="7F1FCD80" w:rsidR="008C5D69" w:rsidRPr="00840450" w:rsidRDefault="008C5D69"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r w:rsidRPr="00840450">
              <w:rPr>
                <w:rFonts w:ascii="Abadi" w:hAnsi="Abadi"/>
                <w:sz w:val="18"/>
                <w:szCs w:val="18"/>
              </w:rPr>
              <w:t>Permite que documentos y mensajes electrónicos tengan valor jurídico equivalente al papel con firma autógrafa, si cumplen los requisitos. Fundamental para contratos digitales, facturación electrónica, comunicaciones formales, etc.</w:t>
            </w:r>
          </w:p>
        </w:tc>
      </w:tr>
      <w:tr w:rsidR="008C5D69" w:rsidRPr="00840450" w14:paraId="6250E37F" w14:textId="77777777" w:rsidTr="008C5D69">
        <w:tc>
          <w:tcPr>
            <w:cnfStyle w:val="001000000000" w:firstRow="0" w:lastRow="0" w:firstColumn="1" w:lastColumn="0" w:oddVBand="0" w:evenVBand="0" w:oddHBand="0" w:evenHBand="0" w:firstRowFirstColumn="0" w:firstRowLastColumn="0" w:lastRowFirstColumn="0" w:lastRowLastColumn="0"/>
            <w:tcW w:w="0" w:type="auto"/>
            <w:hideMark/>
          </w:tcPr>
          <w:p w14:paraId="09DDBF33" w14:textId="130016F9" w:rsidR="008C5D69" w:rsidRPr="00840450" w:rsidRDefault="008C5D69" w:rsidP="00840450">
            <w:pPr>
              <w:spacing w:after="160" w:line="360" w:lineRule="auto"/>
              <w:jc w:val="both"/>
              <w:rPr>
                <w:rFonts w:ascii="Abadi" w:hAnsi="Abadi"/>
                <w:sz w:val="18"/>
                <w:szCs w:val="18"/>
              </w:rPr>
            </w:pPr>
            <w:r w:rsidRPr="00840450">
              <w:rPr>
                <w:rFonts w:ascii="Abadi" w:hAnsi="Abadi"/>
                <w:sz w:val="18"/>
                <w:szCs w:val="18"/>
              </w:rPr>
              <w:t>Código de Comercio</w:t>
            </w:r>
          </w:p>
        </w:tc>
        <w:tc>
          <w:tcPr>
            <w:tcW w:w="2918" w:type="dxa"/>
            <w:hideMark/>
          </w:tcPr>
          <w:p w14:paraId="1AFCB443" w14:textId="5213B1D8" w:rsidR="008C5D69" w:rsidRPr="00840450" w:rsidRDefault="008C5D69"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r w:rsidRPr="00840450">
              <w:rPr>
                <w:rFonts w:ascii="Abadi" w:hAnsi="Abadi"/>
                <w:sz w:val="18"/>
                <w:szCs w:val="18"/>
              </w:rPr>
              <w:t xml:space="preserve">Regula actos de comercio, contratos mercantiles, obligaciones de comerciantes, comercio por medios electrónicos en lo general. </w:t>
            </w:r>
            <w:hyperlink r:id="rId8" w:tgtFrame="_blank" w:history="1">
              <w:r w:rsidRPr="00840450">
                <w:rPr>
                  <w:rStyle w:val="Hipervnculo"/>
                  <w:rFonts w:ascii="Abadi" w:hAnsi="Abadi"/>
                  <w:sz w:val="18"/>
                  <w:szCs w:val="18"/>
                </w:rPr>
                <w:t>Justia+2Justia+2</w:t>
              </w:r>
            </w:hyperlink>
          </w:p>
        </w:tc>
        <w:tc>
          <w:tcPr>
            <w:tcW w:w="3969" w:type="dxa"/>
            <w:hideMark/>
          </w:tcPr>
          <w:p w14:paraId="6B9C32AC" w14:textId="3B5D94D8" w:rsidR="008C5D69" w:rsidRPr="00840450" w:rsidRDefault="008C5D69"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r w:rsidRPr="00840450">
              <w:rPr>
                <w:rFonts w:ascii="Abadi" w:hAnsi="Abadi"/>
                <w:sz w:val="18"/>
                <w:szCs w:val="18"/>
              </w:rPr>
              <w:t>Establece lo relativo a mensajes de datos, conservación de documentos electrónicos, eficacia de los contratos celebrados digitalmente, obligaciones de comerciantes.</w:t>
            </w:r>
          </w:p>
        </w:tc>
      </w:tr>
      <w:tr w:rsidR="008C5D69" w:rsidRPr="00840450" w14:paraId="57F7DDB8" w14:textId="77777777" w:rsidTr="008C5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7B5F1C" w14:textId="77777777" w:rsidR="00840450" w:rsidRDefault="00840450" w:rsidP="00840450">
            <w:pPr>
              <w:spacing w:after="160" w:line="360" w:lineRule="auto"/>
              <w:jc w:val="both"/>
              <w:rPr>
                <w:rFonts w:ascii="Abadi" w:hAnsi="Abadi"/>
                <w:b w:val="0"/>
                <w:bCs w:val="0"/>
                <w:sz w:val="18"/>
                <w:szCs w:val="18"/>
              </w:rPr>
            </w:pPr>
          </w:p>
          <w:p w14:paraId="54347872" w14:textId="50E3853D" w:rsidR="008C5D69" w:rsidRPr="00840450" w:rsidRDefault="008C5D69" w:rsidP="00840450">
            <w:pPr>
              <w:spacing w:after="160" w:line="360" w:lineRule="auto"/>
              <w:jc w:val="both"/>
              <w:rPr>
                <w:rFonts w:ascii="Abadi" w:hAnsi="Abadi"/>
                <w:sz w:val="18"/>
                <w:szCs w:val="18"/>
              </w:rPr>
            </w:pPr>
            <w:r w:rsidRPr="00840450">
              <w:rPr>
                <w:rFonts w:ascii="Abadi" w:hAnsi="Abadi"/>
                <w:sz w:val="18"/>
                <w:szCs w:val="18"/>
              </w:rPr>
              <w:t>Ley Federal de Protección al Consumidor</w:t>
            </w:r>
          </w:p>
        </w:tc>
        <w:tc>
          <w:tcPr>
            <w:tcW w:w="2918" w:type="dxa"/>
            <w:hideMark/>
          </w:tcPr>
          <w:p w14:paraId="691B825D" w14:textId="77777777" w:rsidR="00840450" w:rsidRDefault="00840450"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p>
          <w:p w14:paraId="7BFD8A2C" w14:textId="6EFC88DD" w:rsidR="008C5D69" w:rsidRPr="00840450" w:rsidRDefault="008C5D69"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r w:rsidRPr="00840450">
              <w:rPr>
                <w:rFonts w:ascii="Abadi" w:hAnsi="Abadi"/>
                <w:sz w:val="18"/>
                <w:szCs w:val="18"/>
              </w:rPr>
              <w:t xml:space="preserve">Protege los derechos de los consumidores en compras de bienes o adquisición de servicios, incluidas transacciones electrónicas. </w:t>
            </w:r>
            <w:hyperlink r:id="rId9" w:tgtFrame="_blank" w:history="1">
              <w:r w:rsidRPr="00840450">
                <w:rPr>
                  <w:rStyle w:val="Hipervnculo"/>
                  <w:rFonts w:ascii="Abadi" w:hAnsi="Abadi"/>
                  <w:sz w:val="18"/>
                  <w:szCs w:val="18"/>
                </w:rPr>
                <w:t>bt-elc.com+3Justia+3Justia+3</w:t>
              </w:r>
            </w:hyperlink>
          </w:p>
        </w:tc>
        <w:tc>
          <w:tcPr>
            <w:tcW w:w="3969" w:type="dxa"/>
            <w:hideMark/>
          </w:tcPr>
          <w:p w14:paraId="45DDAE08" w14:textId="77777777" w:rsidR="00840450" w:rsidRDefault="00840450"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p>
          <w:p w14:paraId="48AAB53E" w14:textId="5F652231" w:rsidR="008C5D69" w:rsidRPr="00840450" w:rsidRDefault="008C5D69"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r w:rsidRPr="00840450">
              <w:rPr>
                <w:rFonts w:ascii="Abadi" w:hAnsi="Abadi"/>
                <w:sz w:val="18"/>
                <w:szCs w:val="18"/>
              </w:rPr>
              <w:t>Información clara y veraz de productos y servicios, publicidad no engañosa, condiciones de devolución y garantía, responsabilidad del proveedor, consentimiento de cargos adicionales, transparencia en precios. En comercio electrónico, obliga a que la oferta, términos de venta estén accesibles, etc.</w:t>
            </w:r>
          </w:p>
        </w:tc>
      </w:tr>
      <w:tr w:rsidR="008C5D69" w:rsidRPr="00840450" w14:paraId="1D092B23" w14:textId="77777777" w:rsidTr="008C5D69">
        <w:tc>
          <w:tcPr>
            <w:cnfStyle w:val="001000000000" w:firstRow="0" w:lastRow="0" w:firstColumn="1" w:lastColumn="0" w:oddVBand="0" w:evenVBand="0" w:oddHBand="0" w:evenHBand="0" w:firstRowFirstColumn="0" w:firstRowLastColumn="0" w:lastRowFirstColumn="0" w:lastRowLastColumn="0"/>
            <w:tcW w:w="0" w:type="auto"/>
            <w:hideMark/>
          </w:tcPr>
          <w:p w14:paraId="5C7B2074" w14:textId="77777777" w:rsidR="00840450" w:rsidRDefault="00840450" w:rsidP="00840450">
            <w:pPr>
              <w:spacing w:after="160" w:line="360" w:lineRule="auto"/>
              <w:jc w:val="both"/>
              <w:rPr>
                <w:rFonts w:ascii="Abadi" w:hAnsi="Abadi"/>
                <w:b w:val="0"/>
                <w:bCs w:val="0"/>
                <w:sz w:val="18"/>
                <w:szCs w:val="18"/>
              </w:rPr>
            </w:pPr>
          </w:p>
          <w:p w14:paraId="5B01BFA6" w14:textId="646A48E3" w:rsidR="008C5D69" w:rsidRPr="00840450" w:rsidRDefault="008C5D69" w:rsidP="00840450">
            <w:pPr>
              <w:spacing w:after="160" w:line="360" w:lineRule="auto"/>
              <w:jc w:val="both"/>
              <w:rPr>
                <w:rFonts w:ascii="Abadi" w:hAnsi="Abadi"/>
                <w:sz w:val="18"/>
                <w:szCs w:val="18"/>
              </w:rPr>
            </w:pPr>
            <w:r w:rsidRPr="00840450">
              <w:rPr>
                <w:rFonts w:ascii="Abadi" w:hAnsi="Abadi"/>
                <w:sz w:val="18"/>
                <w:szCs w:val="18"/>
              </w:rPr>
              <w:t>Norma Mexicana de Comercio Electrónico NMX-COE-001-SCFI-2018</w:t>
            </w:r>
          </w:p>
        </w:tc>
        <w:tc>
          <w:tcPr>
            <w:tcW w:w="2918" w:type="dxa"/>
            <w:hideMark/>
          </w:tcPr>
          <w:p w14:paraId="564471F5" w14:textId="77777777" w:rsidR="00840450" w:rsidRDefault="00840450"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p>
          <w:p w14:paraId="6D221B0B" w14:textId="7A98E2DF" w:rsidR="008C5D69" w:rsidRPr="00840450" w:rsidRDefault="008C5D69"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r w:rsidRPr="00840450">
              <w:rPr>
                <w:rFonts w:ascii="Abadi" w:hAnsi="Abadi"/>
                <w:sz w:val="18"/>
                <w:szCs w:val="18"/>
              </w:rPr>
              <w:t xml:space="preserve">Norma mexicana que fija disposiciones a las que deberían sujetarse quienes venden o prestan servicios por medios electrónicos. </w:t>
            </w:r>
            <w:hyperlink r:id="rId10" w:tgtFrame="_blank" w:history="1">
              <w:r w:rsidRPr="00840450">
                <w:rPr>
                  <w:rStyle w:val="Hipervnculo"/>
                  <w:rFonts w:ascii="Abadi" w:hAnsi="Abadi"/>
                  <w:sz w:val="18"/>
                  <w:szCs w:val="18"/>
                </w:rPr>
                <w:t>NYCE+2prestashop.es+2</w:t>
              </w:r>
            </w:hyperlink>
          </w:p>
        </w:tc>
        <w:tc>
          <w:tcPr>
            <w:tcW w:w="3969" w:type="dxa"/>
            <w:hideMark/>
          </w:tcPr>
          <w:p w14:paraId="6A5931E5" w14:textId="77777777" w:rsidR="00840450" w:rsidRDefault="00840450"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p>
          <w:p w14:paraId="507469BC" w14:textId="1AD4A20B" w:rsidR="008C5D69" w:rsidRPr="00840450" w:rsidRDefault="008C5D69"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r w:rsidRPr="00840450">
              <w:rPr>
                <w:rFonts w:ascii="Abadi" w:hAnsi="Abadi"/>
                <w:sz w:val="18"/>
                <w:szCs w:val="18"/>
              </w:rPr>
              <w:t xml:space="preserve">Aunque es voluntaria, sirve como referencia de buenas prácticas: información al consumidor, privacidad de datos, publicidad, devoluciones, garantías, transparencia en los procesos de </w:t>
            </w:r>
            <w:proofErr w:type="gramStart"/>
            <w:r w:rsidRPr="00840450">
              <w:rPr>
                <w:rFonts w:ascii="Abadi" w:hAnsi="Abadi"/>
                <w:sz w:val="18"/>
                <w:szCs w:val="18"/>
              </w:rPr>
              <w:t>compra-venta</w:t>
            </w:r>
            <w:proofErr w:type="gramEnd"/>
            <w:r w:rsidRPr="00840450">
              <w:rPr>
                <w:rFonts w:ascii="Abadi" w:hAnsi="Abadi"/>
                <w:sz w:val="18"/>
                <w:szCs w:val="18"/>
              </w:rPr>
              <w:t xml:space="preserve"> por medios electrónicos.</w:t>
            </w:r>
          </w:p>
        </w:tc>
      </w:tr>
      <w:tr w:rsidR="008C5D69" w:rsidRPr="00840450" w14:paraId="430B9B46" w14:textId="77777777" w:rsidTr="008C5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5E9C2C" w14:textId="77777777" w:rsidR="00840450" w:rsidRDefault="00840450" w:rsidP="00840450">
            <w:pPr>
              <w:spacing w:after="160" w:line="360" w:lineRule="auto"/>
              <w:jc w:val="both"/>
              <w:rPr>
                <w:rFonts w:ascii="Abadi" w:hAnsi="Abadi"/>
                <w:b w:val="0"/>
                <w:bCs w:val="0"/>
                <w:sz w:val="18"/>
                <w:szCs w:val="18"/>
              </w:rPr>
            </w:pPr>
          </w:p>
          <w:p w14:paraId="03C8AF64" w14:textId="7ADC1D57" w:rsidR="008C5D69" w:rsidRPr="00840450" w:rsidRDefault="008C5D69" w:rsidP="00840450">
            <w:pPr>
              <w:spacing w:after="160" w:line="360" w:lineRule="auto"/>
              <w:jc w:val="both"/>
              <w:rPr>
                <w:rFonts w:ascii="Abadi" w:hAnsi="Abadi"/>
                <w:sz w:val="18"/>
                <w:szCs w:val="18"/>
              </w:rPr>
            </w:pPr>
            <w:r w:rsidRPr="00840450">
              <w:rPr>
                <w:rFonts w:ascii="Abadi" w:hAnsi="Abadi"/>
                <w:sz w:val="18"/>
                <w:szCs w:val="18"/>
              </w:rPr>
              <w:t>Norma Oficial Mexicana NOM-151-SCFI-2016</w:t>
            </w:r>
          </w:p>
        </w:tc>
        <w:tc>
          <w:tcPr>
            <w:tcW w:w="2918" w:type="dxa"/>
            <w:hideMark/>
          </w:tcPr>
          <w:p w14:paraId="198A5B90" w14:textId="77777777" w:rsidR="00840450" w:rsidRDefault="00840450"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p>
          <w:p w14:paraId="44FD425B" w14:textId="1897FB24" w:rsidR="008C5D69" w:rsidRPr="00840450" w:rsidRDefault="008C5D69"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r w:rsidRPr="00840450">
              <w:rPr>
                <w:rFonts w:ascii="Abadi" w:hAnsi="Abadi"/>
                <w:sz w:val="18"/>
                <w:szCs w:val="18"/>
              </w:rPr>
              <w:t xml:space="preserve">Establece los requisitos para conservar mensajes de datos con autenticidad, integridad y vigencia, y evitar el no repudio. </w:t>
            </w:r>
            <w:hyperlink r:id="rId11" w:tgtFrame="_blank" w:history="1">
              <w:r w:rsidRPr="00840450">
                <w:rPr>
                  <w:rStyle w:val="Hipervnculo"/>
                  <w:rFonts w:ascii="Abadi" w:hAnsi="Abadi"/>
                  <w:sz w:val="18"/>
                  <w:szCs w:val="18"/>
                </w:rPr>
                <w:t>marketb2b.mx+1</w:t>
              </w:r>
            </w:hyperlink>
          </w:p>
        </w:tc>
        <w:tc>
          <w:tcPr>
            <w:tcW w:w="3969" w:type="dxa"/>
            <w:hideMark/>
          </w:tcPr>
          <w:p w14:paraId="0F837B27" w14:textId="77777777" w:rsidR="00840450" w:rsidRDefault="00840450"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p>
          <w:p w14:paraId="42E76B49" w14:textId="70693782" w:rsidR="008C5D69" w:rsidRPr="00840450" w:rsidRDefault="008C5D69" w:rsidP="0084045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badi" w:hAnsi="Abadi"/>
                <w:sz w:val="18"/>
                <w:szCs w:val="18"/>
              </w:rPr>
            </w:pPr>
            <w:r w:rsidRPr="00840450">
              <w:rPr>
                <w:rFonts w:ascii="Abadi" w:hAnsi="Abadi"/>
                <w:sz w:val="18"/>
                <w:szCs w:val="18"/>
              </w:rPr>
              <w:t>Aplica para documentos electrónicos que deben conservarse; aseguramiento de que los mensajes de datos sean auténticos, que no se puedan negar o repudiar, conservación de formatos electrónicos.</w:t>
            </w:r>
          </w:p>
        </w:tc>
      </w:tr>
      <w:tr w:rsidR="008C5D69" w:rsidRPr="00840450" w14:paraId="295F6D70" w14:textId="77777777" w:rsidTr="008C5D69">
        <w:tc>
          <w:tcPr>
            <w:cnfStyle w:val="001000000000" w:firstRow="0" w:lastRow="0" w:firstColumn="1" w:lastColumn="0" w:oddVBand="0" w:evenVBand="0" w:oddHBand="0" w:evenHBand="0" w:firstRowFirstColumn="0" w:firstRowLastColumn="0" w:lastRowFirstColumn="0" w:lastRowLastColumn="0"/>
            <w:tcW w:w="0" w:type="auto"/>
            <w:hideMark/>
          </w:tcPr>
          <w:p w14:paraId="4F4B58BC" w14:textId="77777777" w:rsidR="00840450" w:rsidRDefault="00840450" w:rsidP="00840450">
            <w:pPr>
              <w:spacing w:after="160" w:line="360" w:lineRule="auto"/>
              <w:jc w:val="both"/>
              <w:rPr>
                <w:rFonts w:ascii="Abadi" w:hAnsi="Abadi"/>
                <w:b w:val="0"/>
                <w:bCs w:val="0"/>
                <w:sz w:val="18"/>
                <w:szCs w:val="18"/>
              </w:rPr>
            </w:pPr>
          </w:p>
          <w:p w14:paraId="2F509869" w14:textId="6D9A30B4" w:rsidR="008C5D69" w:rsidRPr="00840450" w:rsidRDefault="008C5D69" w:rsidP="00840450">
            <w:pPr>
              <w:spacing w:after="160" w:line="360" w:lineRule="auto"/>
              <w:jc w:val="both"/>
              <w:rPr>
                <w:rFonts w:ascii="Abadi" w:hAnsi="Abadi"/>
                <w:sz w:val="18"/>
                <w:szCs w:val="18"/>
              </w:rPr>
            </w:pPr>
            <w:r w:rsidRPr="00840450">
              <w:rPr>
                <w:rFonts w:ascii="Abadi" w:hAnsi="Abadi"/>
                <w:sz w:val="18"/>
                <w:szCs w:val="18"/>
              </w:rPr>
              <w:t>Ley General de Transparencia y Acceso a la Información / Ley Federal de Transparencia y Acceso a la Información Pública Gubernamental</w:t>
            </w:r>
          </w:p>
        </w:tc>
        <w:tc>
          <w:tcPr>
            <w:tcW w:w="2918" w:type="dxa"/>
            <w:hideMark/>
          </w:tcPr>
          <w:p w14:paraId="269D022D" w14:textId="77777777" w:rsidR="00840450" w:rsidRDefault="00840450"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p>
          <w:p w14:paraId="41F3AEAA" w14:textId="6BE761BA" w:rsidR="008C5D69" w:rsidRPr="00840450" w:rsidRDefault="008C5D69"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r w:rsidRPr="00840450">
              <w:rPr>
                <w:rFonts w:ascii="Abadi" w:hAnsi="Abadi"/>
                <w:sz w:val="18"/>
                <w:szCs w:val="18"/>
              </w:rPr>
              <w:t xml:space="preserve">Regula el acceso a la información pública, transparencia, obligaciones de entidades públicas. </w:t>
            </w:r>
            <w:hyperlink r:id="rId12" w:tgtFrame="_blank" w:history="1">
              <w:r w:rsidRPr="00840450">
                <w:rPr>
                  <w:rStyle w:val="Hipervnculo"/>
                  <w:rFonts w:ascii="Abadi" w:hAnsi="Abadi"/>
                  <w:sz w:val="18"/>
                  <w:szCs w:val="18"/>
                </w:rPr>
                <w:t>Wikipedia+1</w:t>
              </w:r>
            </w:hyperlink>
          </w:p>
        </w:tc>
        <w:tc>
          <w:tcPr>
            <w:tcW w:w="3969" w:type="dxa"/>
            <w:hideMark/>
          </w:tcPr>
          <w:p w14:paraId="37E78E18" w14:textId="77777777" w:rsidR="00840450" w:rsidRDefault="00840450"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p>
          <w:p w14:paraId="3C808447" w14:textId="421843A3" w:rsidR="008C5D69" w:rsidRPr="00840450" w:rsidRDefault="008C5D69" w:rsidP="0084045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badi" w:hAnsi="Abadi"/>
                <w:sz w:val="18"/>
                <w:szCs w:val="18"/>
              </w:rPr>
            </w:pPr>
            <w:r w:rsidRPr="00840450">
              <w:rPr>
                <w:rFonts w:ascii="Abadi" w:hAnsi="Abadi"/>
                <w:sz w:val="18"/>
                <w:szCs w:val="18"/>
              </w:rPr>
              <w:t>Para negocios digitales que interactúan con instituciones públicas, contratos con gobierno, cumplimiento de obligaciones de transparencia cuando aplican. También en disposiciones relativas al acceso público de ciertos documentos electrónicos y protección de datos cuando hay sujetos obligados.</w:t>
            </w:r>
          </w:p>
        </w:tc>
      </w:tr>
    </w:tbl>
    <w:p w14:paraId="16E98D5F" w14:textId="77777777" w:rsidR="008C5D69" w:rsidRPr="00840450" w:rsidRDefault="008C5D69" w:rsidP="00840450">
      <w:pPr>
        <w:spacing w:line="360" w:lineRule="auto"/>
        <w:jc w:val="both"/>
        <w:rPr>
          <w:rFonts w:ascii="Abadi" w:hAnsi="Abadi"/>
          <w:sz w:val="24"/>
          <w:szCs w:val="24"/>
        </w:rPr>
      </w:pPr>
    </w:p>
    <w:p w14:paraId="14565181" w14:textId="77777777" w:rsidR="008C5D69" w:rsidRPr="00840450" w:rsidRDefault="008C5D69" w:rsidP="00840450">
      <w:pPr>
        <w:spacing w:line="360" w:lineRule="auto"/>
        <w:jc w:val="both"/>
        <w:rPr>
          <w:rFonts w:ascii="Abadi" w:hAnsi="Abadi"/>
          <w:b/>
          <w:bCs/>
          <w:sz w:val="24"/>
          <w:szCs w:val="24"/>
        </w:rPr>
      </w:pPr>
      <w:r w:rsidRPr="00840450">
        <w:rPr>
          <w:rFonts w:ascii="Segoe UI Emoji" w:hAnsi="Segoe UI Emoji" w:cs="Segoe UI Emoji"/>
          <w:b/>
          <w:bCs/>
          <w:sz w:val="24"/>
          <w:szCs w:val="24"/>
        </w:rPr>
        <w:lastRenderedPageBreak/>
        <w:t>📌</w:t>
      </w:r>
      <w:r w:rsidRPr="00840450">
        <w:rPr>
          <w:rFonts w:ascii="Abadi" w:hAnsi="Abadi"/>
          <w:b/>
          <w:bCs/>
          <w:sz w:val="24"/>
          <w:szCs w:val="24"/>
        </w:rPr>
        <w:t xml:space="preserve"> Conclusión</w:t>
      </w:r>
    </w:p>
    <w:p w14:paraId="4E81896B" w14:textId="77777777" w:rsidR="008C5D69" w:rsidRPr="00840450" w:rsidRDefault="008C5D69" w:rsidP="00840450">
      <w:pPr>
        <w:spacing w:line="360" w:lineRule="auto"/>
        <w:jc w:val="both"/>
        <w:rPr>
          <w:rFonts w:ascii="Abadi" w:hAnsi="Abadi"/>
          <w:sz w:val="24"/>
          <w:szCs w:val="24"/>
        </w:rPr>
      </w:pPr>
      <w:r w:rsidRPr="00840450">
        <w:rPr>
          <w:rFonts w:ascii="Abadi" w:hAnsi="Abadi"/>
          <w:sz w:val="24"/>
          <w:szCs w:val="24"/>
        </w:rPr>
        <w:t>El marco jurídico que regula los negocios digitales en México constituye un elemento fundamental para garantizar relaciones comerciales transparentes, seguras y confiables en el entorno virtual. Normas como la Ley Federal de Protección de Datos Personales en Posesión de los Particulares, la Ley de Firma Electrónica Avanzada, el Código de Comercio y la Ley Federal de Protección al Consumidor, junto con normas técnicas como la NOM-151 y la NMX de comercio electrónico, ofrecen un andamiaje legal que protege tanto a los usuarios como a las empresas. No obstante, el avance acelerado de la tecnología plantea la necesidad de actualizar constantemente estas disposiciones, a fin de atender fenómenos emergentes como la inteligencia artificial, el blockchain y las transacciones transfronterizas. En consecuencia, conocer y aplicar estas regulaciones no solo es una obligación legal, sino también una estrategia esencial para que los negocios digitales fortalezcan su credibilidad, competitividad y sostenibilidad en el mercado actual.</w:t>
      </w:r>
    </w:p>
    <w:p w14:paraId="14F63528" w14:textId="77777777" w:rsidR="008C5D69" w:rsidRPr="00840450" w:rsidRDefault="008C5D69" w:rsidP="00840450">
      <w:pPr>
        <w:spacing w:line="360" w:lineRule="auto"/>
        <w:jc w:val="both"/>
        <w:rPr>
          <w:rFonts w:ascii="Abadi" w:hAnsi="Abadi"/>
          <w:sz w:val="24"/>
          <w:szCs w:val="24"/>
        </w:rPr>
      </w:pPr>
    </w:p>
    <w:p w14:paraId="481B4E11" w14:textId="26414D3C" w:rsidR="008C5D69" w:rsidRPr="00840450" w:rsidRDefault="008C5D69" w:rsidP="00840450">
      <w:pPr>
        <w:spacing w:line="360" w:lineRule="auto"/>
        <w:jc w:val="both"/>
        <w:rPr>
          <w:rFonts w:ascii="Abadi" w:hAnsi="Abadi"/>
          <w:b/>
          <w:bCs/>
          <w:sz w:val="24"/>
          <w:szCs w:val="24"/>
        </w:rPr>
      </w:pPr>
      <w:r w:rsidRPr="00840450">
        <w:rPr>
          <w:rFonts w:ascii="Segoe UI Emoji" w:hAnsi="Segoe UI Emoji" w:cs="Segoe UI Emoji"/>
          <w:b/>
          <w:bCs/>
          <w:sz w:val="24"/>
          <w:szCs w:val="24"/>
        </w:rPr>
        <w:t>📌</w:t>
      </w:r>
      <w:r w:rsidRPr="00840450">
        <w:rPr>
          <w:rFonts w:ascii="Abadi" w:hAnsi="Abadi"/>
          <w:b/>
          <w:bCs/>
          <w:sz w:val="24"/>
          <w:szCs w:val="24"/>
        </w:rPr>
        <w:t xml:space="preserve"> Fuentes bibliográficas</w:t>
      </w:r>
    </w:p>
    <w:p w14:paraId="5A8EB8CB" w14:textId="77777777" w:rsidR="008C5D69" w:rsidRPr="00840450" w:rsidRDefault="008C5D69" w:rsidP="00840450">
      <w:pPr>
        <w:numPr>
          <w:ilvl w:val="0"/>
          <w:numId w:val="4"/>
        </w:numPr>
        <w:spacing w:line="360" w:lineRule="auto"/>
        <w:jc w:val="both"/>
        <w:rPr>
          <w:rFonts w:ascii="Abadi" w:hAnsi="Abadi"/>
          <w:sz w:val="24"/>
          <w:szCs w:val="24"/>
        </w:rPr>
      </w:pPr>
      <w:r w:rsidRPr="00840450">
        <w:rPr>
          <w:rFonts w:ascii="Abadi" w:hAnsi="Abadi"/>
          <w:sz w:val="24"/>
          <w:szCs w:val="24"/>
        </w:rPr>
        <w:t xml:space="preserve">Cámara de Diputados del H. Congreso de la Unión. (2010). </w:t>
      </w:r>
      <w:r w:rsidRPr="00840450">
        <w:rPr>
          <w:rFonts w:ascii="Abadi" w:hAnsi="Abadi"/>
          <w:i/>
          <w:iCs/>
          <w:sz w:val="24"/>
          <w:szCs w:val="24"/>
        </w:rPr>
        <w:t>Ley Federal de Protección de Datos Personales en Posesión de los Particulares</w:t>
      </w:r>
      <w:r w:rsidRPr="00840450">
        <w:rPr>
          <w:rFonts w:ascii="Abadi" w:hAnsi="Abadi"/>
          <w:sz w:val="24"/>
          <w:szCs w:val="24"/>
        </w:rPr>
        <w:t>. Diario Oficial de la Federación.</w:t>
      </w:r>
    </w:p>
    <w:p w14:paraId="30541CB0" w14:textId="77777777" w:rsidR="008C5D69" w:rsidRPr="00840450" w:rsidRDefault="008C5D69" w:rsidP="00840450">
      <w:pPr>
        <w:numPr>
          <w:ilvl w:val="0"/>
          <w:numId w:val="4"/>
        </w:numPr>
        <w:spacing w:line="360" w:lineRule="auto"/>
        <w:jc w:val="both"/>
        <w:rPr>
          <w:rFonts w:ascii="Abadi" w:hAnsi="Abadi"/>
          <w:sz w:val="24"/>
          <w:szCs w:val="24"/>
        </w:rPr>
      </w:pPr>
      <w:r w:rsidRPr="00840450">
        <w:rPr>
          <w:rFonts w:ascii="Abadi" w:hAnsi="Abadi"/>
          <w:sz w:val="24"/>
          <w:szCs w:val="24"/>
        </w:rPr>
        <w:t xml:space="preserve">Cámara de Diputados del H. Congreso de la Unión. (2016). </w:t>
      </w:r>
      <w:r w:rsidRPr="00840450">
        <w:rPr>
          <w:rFonts w:ascii="Abadi" w:hAnsi="Abadi"/>
          <w:i/>
          <w:iCs/>
          <w:sz w:val="24"/>
          <w:szCs w:val="24"/>
        </w:rPr>
        <w:t>Norma Oficial Mexicana NOM-151-SCFI-2016, Mensajes de Datos, Integridad, Autenticidad y Conservación</w:t>
      </w:r>
      <w:r w:rsidRPr="00840450">
        <w:rPr>
          <w:rFonts w:ascii="Abadi" w:hAnsi="Abadi"/>
          <w:sz w:val="24"/>
          <w:szCs w:val="24"/>
        </w:rPr>
        <w:t>. Diario Oficial de la Federación.</w:t>
      </w:r>
    </w:p>
    <w:p w14:paraId="25DD56B8" w14:textId="77777777" w:rsidR="008C5D69" w:rsidRPr="00840450" w:rsidRDefault="008C5D69" w:rsidP="00840450">
      <w:pPr>
        <w:numPr>
          <w:ilvl w:val="0"/>
          <w:numId w:val="4"/>
        </w:numPr>
        <w:spacing w:line="360" w:lineRule="auto"/>
        <w:jc w:val="both"/>
        <w:rPr>
          <w:rFonts w:ascii="Abadi" w:hAnsi="Abadi"/>
          <w:sz w:val="24"/>
          <w:szCs w:val="24"/>
        </w:rPr>
      </w:pPr>
      <w:r w:rsidRPr="00840450">
        <w:rPr>
          <w:rFonts w:ascii="Abadi" w:hAnsi="Abadi"/>
          <w:sz w:val="24"/>
          <w:szCs w:val="24"/>
        </w:rPr>
        <w:t xml:space="preserve">Cámara de Diputados del H. Congreso de la Unión. (2021, 20 de mayo). </w:t>
      </w:r>
      <w:r w:rsidRPr="00840450">
        <w:rPr>
          <w:rFonts w:ascii="Abadi" w:hAnsi="Abadi"/>
          <w:i/>
          <w:iCs/>
          <w:sz w:val="24"/>
          <w:szCs w:val="24"/>
        </w:rPr>
        <w:t>Ley de Firma Electrónica Avanzada</w:t>
      </w:r>
      <w:r w:rsidRPr="00840450">
        <w:rPr>
          <w:rFonts w:ascii="Abadi" w:hAnsi="Abadi"/>
          <w:sz w:val="24"/>
          <w:szCs w:val="24"/>
        </w:rPr>
        <w:t>. Diario Oficial de la Federación.</w:t>
      </w:r>
    </w:p>
    <w:p w14:paraId="37548EF6" w14:textId="77777777" w:rsidR="008C5D69" w:rsidRPr="00840450" w:rsidRDefault="008C5D69" w:rsidP="00840450">
      <w:pPr>
        <w:numPr>
          <w:ilvl w:val="0"/>
          <w:numId w:val="4"/>
        </w:numPr>
        <w:spacing w:line="360" w:lineRule="auto"/>
        <w:jc w:val="both"/>
        <w:rPr>
          <w:rFonts w:ascii="Abadi" w:hAnsi="Abadi"/>
          <w:sz w:val="24"/>
          <w:szCs w:val="24"/>
        </w:rPr>
      </w:pPr>
      <w:r w:rsidRPr="00840450">
        <w:rPr>
          <w:rFonts w:ascii="Abadi" w:hAnsi="Abadi"/>
          <w:sz w:val="24"/>
          <w:szCs w:val="24"/>
        </w:rPr>
        <w:t xml:space="preserve">Secretaría de Economía. (2018). </w:t>
      </w:r>
      <w:r w:rsidRPr="00840450">
        <w:rPr>
          <w:rFonts w:ascii="Abadi" w:hAnsi="Abadi"/>
          <w:i/>
          <w:iCs/>
          <w:sz w:val="24"/>
          <w:szCs w:val="24"/>
        </w:rPr>
        <w:t>NMX-COE-001-SCFI-2018 Comercio Electrónico — Disposiciones a las que se sujetarán aquellas personas que ofrezcan, comercialicen o vendan bienes, productos o servicios por medios electrónicos</w:t>
      </w:r>
      <w:r w:rsidRPr="00840450">
        <w:rPr>
          <w:rFonts w:ascii="Abadi" w:hAnsi="Abadi"/>
          <w:sz w:val="24"/>
          <w:szCs w:val="24"/>
        </w:rPr>
        <w:t>. México.</w:t>
      </w:r>
    </w:p>
    <w:p w14:paraId="41FD3D19" w14:textId="77777777" w:rsidR="008C5D69" w:rsidRPr="00840450" w:rsidRDefault="008C5D69" w:rsidP="00840450">
      <w:pPr>
        <w:numPr>
          <w:ilvl w:val="0"/>
          <w:numId w:val="4"/>
        </w:numPr>
        <w:spacing w:line="360" w:lineRule="auto"/>
        <w:jc w:val="both"/>
        <w:rPr>
          <w:rFonts w:ascii="Abadi" w:hAnsi="Abadi"/>
          <w:sz w:val="24"/>
          <w:szCs w:val="24"/>
        </w:rPr>
      </w:pPr>
      <w:r w:rsidRPr="00840450">
        <w:rPr>
          <w:rFonts w:ascii="Abadi" w:hAnsi="Abadi"/>
          <w:sz w:val="24"/>
          <w:szCs w:val="24"/>
        </w:rPr>
        <w:t xml:space="preserve">Justia México. (s. f.). Comercio electrónico | Derecho mercantil. Recuperado de </w:t>
      </w:r>
      <w:hyperlink r:id="rId13" w:tgtFrame="_new" w:history="1">
        <w:r w:rsidRPr="00840450">
          <w:rPr>
            <w:rStyle w:val="Hipervnculo"/>
            <w:rFonts w:ascii="Abadi" w:hAnsi="Abadi"/>
            <w:sz w:val="24"/>
            <w:szCs w:val="24"/>
          </w:rPr>
          <w:t>https://mexico.justia.com/derecho-mercantil/comercio-electronico/</w:t>
        </w:r>
      </w:hyperlink>
      <w:r w:rsidRPr="00840450">
        <w:rPr>
          <w:rFonts w:ascii="Abadi" w:hAnsi="Abadi"/>
          <w:sz w:val="24"/>
          <w:szCs w:val="24"/>
        </w:rPr>
        <w:t xml:space="preserve"> </w:t>
      </w:r>
      <w:hyperlink r:id="rId14" w:tgtFrame="_blank" w:history="1">
        <w:r w:rsidRPr="00840450">
          <w:rPr>
            <w:rStyle w:val="Hipervnculo"/>
            <w:rFonts w:ascii="Abadi" w:hAnsi="Abadi"/>
            <w:sz w:val="24"/>
            <w:szCs w:val="24"/>
          </w:rPr>
          <w:t>Justia</w:t>
        </w:r>
      </w:hyperlink>
    </w:p>
    <w:p w14:paraId="4CF62CC4" w14:textId="51FBAAFD" w:rsidR="008C5D69" w:rsidRPr="00840450" w:rsidRDefault="008C5D69" w:rsidP="00840450">
      <w:pPr>
        <w:numPr>
          <w:ilvl w:val="0"/>
          <w:numId w:val="4"/>
        </w:numPr>
        <w:spacing w:line="360" w:lineRule="auto"/>
        <w:jc w:val="both"/>
        <w:rPr>
          <w:rFonts w:ascii="Abadi" w:hAnsi="Abadi"/>
          <w:sz w:val="24"/>
          <w:szCs w:val="24"/>
        </w:rPr>
      </w:pPr>
      <w:r w:rsidRPr="00840450">
        <w:rPr>
          <w:rFonts w:ascii="Abadi" w:hAnsi="Abadi"/>
          <w:sz w:val="24"/>
          <w:szCs w:val="24"/>
        </w:rPr>
        <w:lastRenderedPageBreak/>
        <w:t xml:space="preserve">INAI / Salesforce. (2020, 9 de noviembre). Ley de protección de datos personales en México. Recuperado de </w:t>
      </w:r>
      <w:hyperlink r:id="rId15" w:tgtFrame="_new" w:history="1">
        <w:r w:rsidRPr="00840450">
          <w:rPr>
            <w:rStyle w:val="Hipervnculo"/>
            <w:rFonts w:ascii="Abadi" w:hAnsi="Abadi"/>
            <w:sz w:val="24"/>
            <w:szCs w:val="24"/>
          </w:rPr>
          <w:t>https://www.salesforce.com/mx/blog/ley-de-proteccion-de-datos-personales/</w:t>
        </w:r>
      </w:hyperlink>
      <w:r w:rsidRPr="00840450">
        <w:rPr>
          <w:rFonts w:ascii="Abadi" w:hAnsi="Abadi"/>
          <w:sz w:val="24"/>
          <w:szCs w:val="24"/>
        </w:rPr>
        <w:t xml:space="preserve"> </w:t>
      </w:r>
      <w:hyperlink r:id="rId16" w:tgtFrame="_blank" w:history="1">
        <w:r w:rsidRPr="00840450">
          <w:rPr>
            <w:rStyle w:val="Hipervnculo"/>
            <w:rFonts w:ascii="Abadi" w:hAnsi="Abadi"/>
            <w:sz w:val="24"/>
            <w:szCs w:val="24"/>
          </w:rPr>
          <w:t>Salesforce</w:t>
        </w:r>
      </w:hyperlink>
    </w:p>
    <w:p w14:paraId="1B203532" w14:textId="77777777" w:rsidR="008C5D69" w:rsidRPr="00840450" w:rsidRDefault="008C5D69" w:rsidP="00840450">
      <w:pPr>
        <w:spacing w:line="360" w:lineRule="auto"/>
        <w:jc w:val="both"/>
        <w:rPr>
          <w:rFonts w:ascii="Abadi" w:hAnsi="Abadi"/>
          <w:b/>
          <w:bCs/>
          <w:sz w:val="24"/>
          <w:szCs w:val="24"/>
        </w:rPr>
      </w:pPr>
      <w:r w:rsidRPr="00840450">
        <w:rPr>
          <w:rFonts w:ascii="Abadi" w:hAnsi="Abadi"/>
          <w:b/>
          <w:bCs/>
          <w:sz w:val="24"/>
          <w:szCs w:val="24"/>
        </w:rPr>
        <w:t>Otros temas normativos relacionados</w:t>
      </w:r>
    </w:p>
    <w:p w14:paraId="3DA57869" w14:textId="77777777" w:rsidR="008C5D69" w:rsidRPr="00840450" w:rsidRDefault="008C5D69" w:rsidP="00840450">
      <w:pPr>
        <w:numPr>
          <w:ilvl w:val="0"/>
          <w:numId w:val="1"/>
        </w:numPr>
        <w:spacing w:line="360" w:lineRule="auto"/>
        <w:jc w:val="both"/>
        <w:rPr>
          <w:rFonts w:ascii="Abadi" w:hAnsi="Abadi"/>
          <w:sz w:val="24"/>
          <w:szCs w:val="24"/>
        </w:rPr>
      </w:pPr>
      <w:r w:rsidRPr="00840450">
        <w:rPr>
          <w:rFonts w:ascii="Abadi" w:hAnsi="Abadi"/>
          <w:b/>
          <w:bCs/>
          <w:sz w:val="24"/>
          <w:szCs w:val="24"/>
        </w:rPr>
        <w:t>Impuestos</w:t>
      </w:r>
      <w:r w:rsidRPr="00840450">
        <w:rPr>
          <w:rFonts w:ascii="Abadi" w:hAnsi="Abadi"/>
          <w:sz w:val="24"/>
          <w:szCs w:val="24"/>
        </w:rPr>
        <w:t>: Obligaciones fiscales para comercio electrónico, emisión de facturas electrónicas (CFDI), pago de IVA, etc. (no siempre contemplado directamente, pero regulado por legislación fiscal).</w:t>
      </w:r>
    </w:p>
    <w:p w14:paraId="1009254C" w14:textId="77777777" w:rsidR="008C5D69" w:rsidRPr="00840450" w:rsidRDefault="008C5D69" w:rsidP="00840450">
      <w:pPr>
        <w:numPr>
          <w:ilvl w:val="0"/>
          <w:numId w:val="1"/>
        </w:numPr>
        <w:spacing w:line="360" w:lineRule="auto"/>
        <w:jc w:val="both"/>
        <w:rPr>
          <w:rFonts w:ascii="Abadi" w:hAnsi="Abadi"/>
          <w:sz w:val="24"/>
          <w:szCs w:val="24"/>
        </w:rPr>
      </w:pPr>
      <w:r w:rsidRPr="00840450">
        <w:rPr>
          <w:rFonts w:ascii="Abadi" w:hAnsi="Abadi"/>
          <w:b/>
          <w:bCs/>
          <w:sz w:val="24"/>
          <w:szCs w:val="24"/>
        </w:rPr>
        <w:t>Propiedad intelectual</w:t>
      </w:r>
      <w:r w:rsidRPr="00840450">
        <w:rPr>
          <w:rFonts w:ascii="Abadi" w:hAnsi="Abadi"/>
          <w:sz w:val="24"/>
          <w:szCs w:val="24"/>
        </w:rPr>
        <w:t>: Derechos de autor, uso de contenido digital, marcas, protección legal de software, etc.</w:t>
      </w:r>
    </w:p>
    <w:p w14:paraId="49E87D38" w14:textId="77777777" w:rsidR="008C5D69" w:rsidRPr="00840450" w:rsidRDefault="008C5D69" w:rsidP="00840450">
      <w:pPr>
        <w:numPr>
          <w:ilvl w:val="0"/>
          <w:numId w:val="1"/>
        </w:numPr>
        <w:spacing w:line="360" w:lineRule="auto"/>
        <w:jc w:val="both"/>
        <w:rPr>
          <w:rFonts w:ascii="Abadi" w:hAnsi="Abadi"/>
          <w:sz w:val="24"/>
          <w:szCs w:val="24"/>
        </w:rPr>
      </w:pPr>
      <w:r w:rsidRPr="00840450">
        <w:rPr>
          <w:rFonts w:ascii="Abadi" w:hAnsi="Abadi"/>
          <w:b/>
          <w:bCs/>
          <w:sz w:val="24"/>
          <w:szCs w:val="24"/>
        </w:rPr>
        <w:t>Delitos informáticos y ciberseguridad</w:t>
      </w:r>
      <w:r w:rsidRPr="00840450">
        <w:rPr>
          <w:rFonts w:ascii="Abadi" w:hAnsi="Abadi"/>
          <w:sz w:val="24"/>
          <w:szCs w:val="24"/>
        </w:rPr>
        <w:t>: Regulaciones penales aplicables al fraude, hacking, protección de infraestructura digital.</w:t>
      </w:r>
    </w:p>
    <w:p w14:paraId="0A67AA01" w14:textId="35AC48B0" w:rsidR="008C5D69" w:rsidRPr="00840450" w:rsidRDefault="008C5D69" w:rsidP="00840450">
      <w:pPr>
        <w:numPr>
          <w:ilvl w:val="0"/>
          <w:numId w:val="1"/>
        </w:numPr>
        <w:spacing w:line="360" w:lineRule="auto"/>
        <w:jc w:val="both"/>
        <w:rPr>
          <w:rFonts w:ascii="Abadi" w:hAnsi="Abadi"/>
          <w:sz w:val="24"/>
          <w:szCs w:val="24"/>
        </w:rPr>
      </w:pPr>
      <w:r w:rsidRPr="00840450">
        <w:rPr>
          <w:rFonts w:ascii="Abadi" w:hAnsi="Abadi"/>
          <w:b/>
          <w:bCs/>
          <w:sz w:val="24"/>
          <w:szCs w:val="24"/>
        </w:rPr>
        <w:t>Regulación de medios digitales, publicidad digital, marketing</w:t>
      </w:r>
      <w:r w:rsidRPr="00840450">
        <w:rPr>
          <w:rFonts w:ascii="Abadi" w:hAnsi="Abadi"/>
          <w:sz w:val="24"/>
          <w:szCs w:val="24"/>
        </w:rPr>
        <w:t>: leyes y normas que regulan la publicidad en línea, prácticas de marketing, protección contra publicidad engañosa.</w:t>
      </w:r>
    </w:p>
    <w:p w14:paraId="45F1A6A1" w14:textId="77777777" w:rsidR="008C5D69" w:rsidRPr="00840450" w:rsidRDefault="008C5D69" w:rsidP="00840450">
      <w:pPr>
        <w:spacing w:line="360" w:lineRule="auto"/>
        <w:jc w:val="both"/>
        <w:rPr>
          <w:rFonts w:ascii="Abadi" w:hAnsi="Abadi"/>
          <w:b/>
          <w:bCs/>
          <w:sz w:val="24"/>
          <w:szCs w:val="24"/>
        </w:rPr>
      </w:pPr>
      <w:r w:rsidRPr="00840450">
        <w:rPr>
          <w:rFonts w:ascii="Abadi" w:hAnsi="Abadi"/>
          <w:b/>
          <w:bCs/>
          <w:sz w:val="24"/>
          <w:szCs w:val="24"/>
        </w:rPr>
        <w:t>Posibles lagunas o retos legales</w:t>
      </w:r>
    </w:p>
    <w:p w14:paraId="62924627" w14:textId="77777777" w:rsidR="008C5D69" w:rsidRPr="00840450" w:rsidRDefault="008C5D69" w:rsidP="00840450">
      <w:pPr>
        <w:numPr>
          <w:ilvl w:val="0"/>
          <w:numId w:val="2"/>
        </w:numPr>
        <w:spacing w:line="360" w:lineRule="auto"/>
        <w:jc w:val="both"/>
        <w:rPr>
          <w:rFonts w:ascii="Abadi" w:hAnsi="Abadi"/>
          <w:sz w:val="24"/>
          <w:szCs w:val="24"/>
        </w:rPr>
      </w:pPr>
      <w:r w:rsidRPr="00840450">
        <w:rPr>
          <w:rFonts w:ascii="Abadi" w:hAnsi="Abadi"/>
          <w:sz w:val="24"/>
          <w:szCs w:val="24"/>
        </w:rPr>
        <w:t xml:space="preserve">Algunas normas (como la NMX de comercio electrónico) no son obligatorias, solo buenas prácticas. Esto genera variabilidad en cumplimiento. </w:t>
      </w:r>
      <w:hyperlink r:id="rId17" w:tgtFrame="_blank" w:history="1">
        <w:r w:rsidRPr="00840450">
          <w:rPr>
            <w:rStyle w:val="Hipervnculo"/>
            <w:rFonts w:ascii="Abadi" w:hAnsi="Abadi"/>
            <w:sz w:val="24"/>
            <w:szCs w:val="24"/>
          </w:rPr>
          <w:t>prestashop.es+1</w:t>
        </w:r>
      </w:hyperlink>
    </w:p>
    <w:p w14:paraId="209A33F1" w14:textId="77777777" w:rsidR="008C5D69" w:rsidRPr="00840450" w:rsidRDefault="008C5D69" w:rsidP="00840450">
      <w:pPr>
        <w:numPr>
          <w:ilvl w:val="0"/>
          <w:numId w:val="2"/>
        </w:numPr>
        <w:spacing w:line="360" w:lineRule="auto"/>
        <w:jc w:val="both"/>
        <w:rPr>
          <w:rFonts w:ascii="Abadi" w:hAnsi="Abadi"/>
          <w:sz w:val="24"/>
          <w:szCs w:val="24"/>
        </w:rPr>
      </w:pPr>
      <w:r w:rsidRPr="00840450">
        <w:rPr>
          <w:rFonts w:ascii="Abadi" w:hAnsi="Abadi"/>
          <w:sz w:val="24"/>
          <w:szCs w:val="24"/>
        </w:rPr>
        <w:t>Evolución tecnológica muy rápida, por lo que ciertos tipos de servicios digitales (blockchain, IA, plataformas colaborativas) pueden no estar claramente regulados en todas sus aristas.</w:t>
      </w:r>
    </w:p>
    <w:p w14:paraId="39212F5C" w14:textId="6FF91EE1" w:rsidR="008C5D69" w:rsidRPr="00840450" w:rsidRDefault="008C5D69" w:rsidP="00840450">
      <w:pPr>
        <w:numPr>
          <w:ilvl w:val="0"/>
          <w:numId w:val="2"/>
        </w:numPr>
        <w:spacing w:line="360" w:lineRule="auto"/>
        <w:jc w:val="both"/>
        <w:rPr>
          <w:rFonts w:ascii="Abadi" w:hAnsi="Abadi"/>
          <w:sz w:val="24"/>
          <w:szCs w:val="24"/>
        </w:rPr>
      </w:pPr>
      <w:r w:rsidRPr="00840450">
        <w:rPr>
          <w:rFonts w:ascii="Abadi" w:hAnsi="Abadi"/>
          <w:sz w:val="24"/>
          <w:szCs w:val="24"/>
        </w:rPr>
        <w:t>Jurisdicción, sanciones, cumplimiento transfronterizo: operaciones realizadas desde otro país, servicios digitales internacionales.</w:t>
      </w:r>
    </w:p>
    <w:p w14:paraId="32599C1D" w14:textId="49430C4E" w:rsidR="008C5D69" w:rsidRPr="00840450" w:rsidRDefault="008C5D69" w:rsidP="00840450">
      <w:pPr>
        <w:spacing w:line="360" w:lineRule="auto"/>
        <w:jc w:val="both"/>
        <w:rPr>
          <w:rFonts w:ascii="Abadi" w:hAnsi="Abadi"/>
          <w:sz w:val="24"/>
          <w:szCs w:val="24"/>
        </w:rPr>
      </w:pPr>
    </w:p>
    <w:p w14:paraId="40E5540F" w14:textId="77777777" w:rsidR="00E51165" w:rsidRPr="00840450" w:rsidRDefault="00E51165" w:rsidP="00840450">
      <w:pPr>
        <w:spacing w:line="360" w:lineRule="auto"/>
        <w:rPr>
          <w:rFonts w:ascii="Abadi" w:hAnsi="Abadi"/>
          <w:sz w:val="24"/>
          <w:szCs w:val="24"/>
        </w:rPr>
      </w:pPr>
    </w:p>
    <w:sectPr w:rsidR="00E51165" w:rsidRPr="008404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0BA"/>
    <w:multiLevelType w:val="multilevel"/>
    <w:tmpl w:val="4022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37197"/>
    <w:multiLevelType w:val="multilevel"/>
    <w:tmpl w:val="F238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F1742"/>
    <w:multiLevelType w:val="multilevel"/>
    <w:tmpl w:val="C43CD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740F90"/>
    <w:multiLevelType w:val="multilevel"/>
    <w:tmpl w:val="593C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576575">
    <w:abstractNumId w:val="0"/>
  </w:num>
  <w:num w:numId="2" w16cid:durableId="949162284">
    <w:abstractNumId w:val="1"/>
  </w:num>
  <w:num w:numId="3" w16cid:durableId="524295906">
    <w:abstractNumId w:val="2"/>
  </w:num>
  <w:num w:numId="4" w16cid:durableId="1459488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5D"/>
    <w:rsid w:val="000B2920"/>
    <w:rsid w:val="001163A7"/>
    <w:rsid w:val="00352FAD"/>
    <w:rsid w:val="0038392B"/>
    <w:rsid w:val="0044715D"/>
    <w:rsid w:val="007A3132"/>
    <w:rsid w:val="00840450"/>
    <w:rsid w:val="008527F2"/>
    <w:rsid w:val="008C5D69"/>
    <w:rsid w:val="00CB75A8"/>
    <w:rsid w:val="00D0411D"/>
    <w:rsid w:val="00E51165"/>
    <w:rsid w:val="00F94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3995"/>
  <w15:chartTrackingRefBased/>
  <w15:docId w15:val="{4E35CB45-FAC0-44E3-B84D-7C8285ED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7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7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71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71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71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71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71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71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71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71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71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71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71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71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71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71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71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715D"/>
    <w:rPr>
      <w:rFonts w:eastAsiaTheme="majorEastAsia" w:cstheme="majorBidi"/>
      <w:color w:val="272727" w:themeColor="text1" w:themeTint="D8"/>
    </w:rPr>
  </w:style>
  <w:style w:type="paragraph" w:styleId="Ttulo">
    <w:name w:val="Title"/>
    <w:basedOn w:val="Normal"/>
    <w:next w:val="Normal"/>
    <w:link w:val="TtuloCar"/>
    <w:uiPriority w:val="10"/>
    <w:qFormat/>
    <w:rsid w:val="00447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71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71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71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715D"/>
    <w:pPr>
      <w:spacing w:before="160"/>
      <w:jc w:val="center"/>
    </w:pPr>
    <w:rPr>
      <w:i/>
      <w:iCs/>
      <w:color w:val="404040" w:themeColor="text1" w:themeTint="BF"/>
    </w:rPr>
  </w:style>
  <w:style w:type="character" w:customStyle="1" w:styleId="CitaCar">
    <w:name w:val="Cita Car"/>
    <w:basedOn w:val="Fuentedeprrafopredeter"/>
    <w:link w:val="Cita"/>
    <w:uiPriority w:val="29"/>
    <w:rsid w:val="0044715D"/>
    <w:rPr>
      <w:i/>
      <w:iCs/>
      <w:color w:val="404040" w:themeColor="text1" w:themeTint="BF"/>
    </w:rPr>
  </w:style>
  <w:style w:type="paragraph" w:styleId="Prrafodelista">
    <w:name w:val="List Paragraph"/>
    <w:basedOn w:val="Normal"/>
    <w:uiPriority w:val="34"/>
    <w:qFormat/>
    <w:rsid w:val="0044715D"/>
    <w:pPr>
      <w:ind w:left="720"/>
      <w:contextualSpacing/>
    </w:pPr>
  </w:style>
  <w:style w:type="character" w:styleId="nfasisintenso">
    <w:name w:val="Intense Emphasis"/>
    <w:basedOn w:val="Fuentedeprrafopredeter"/>
    <w:uiPriority w:val="21"/>
    <w:qFormat/>
    <w:rsid w:val="0044715D"/>
    <w:rPr>
      <w:i/>
      <w:iCs/>
      <w:color w:val="0F4761" w:themeColor="accent1" w:themeShade="BF"/>
    </w:rPr>
  </w:style>
  <w:style w:type="paragraph" w:styleId="Citadestacada">
    <w:name w:val="Intense Quote"/>
    <w:basedOn w:val="Normal"/>
    <w:next w:val="Normal"/>
    <w:link w:val="CitadestacadaCar"/>
    <w:uiPriority w:val="30"/>
    <w:qFormat/>
    <w:rsid w:val="00447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715D"/>
    <w:rPr>
      <w:i/>
      <w:iCs/>
      <w:color w:val="0F4761" w:themeColor="accent1" w:themeShade="BF"/>
    </w:rPr>
  </w:style>
  <w:style w:type="character" w:styleId="Referenciaintensa">
    <w:name w:val="Intense Reference"/>
    <w:basedOn w:val="Fuentedeprrafopredeter"/>
    <w:uiPriority w:val="32"/>
    <w:qFormat/>
    <w:rsid w:val="0044715D"/>
    <w:rPr>
      <w:b/>
      <w:bCs/>
      <w:smallCaps/>
      <w:color w:val="0F4761" w:themeColor="accent1" w:themeShade="BF"/>
      <w:spacing w:val="5"/>
    </w:rPr>
  </w:style>
  <w:style w:type="character" w:styleId="Hipervnculo">
    <w:name w:val="Hyperlink"/>
    <w:basedOn w:val="Fuentedeprrafopredeter"/>
    <w:uiPriority w:val="99"/>
    <w:unhideWhenUsed/>
    <w:rsid w:val="008C5D69"/>
    <w:rPr>
      <w:color w:val="467886" w:themeColor="hyperlink"/>
      <w:u w:val="single"/>
    </w:rPr>
  </w:style>
  <w:style w:type="character" w:styleId="Mencinsinresolver">
    <w:name w:val="Unresolved Mention"/>
    <w:basedOn w:val="Fuentedeprrafopredeter"/>
    <w:uiPriority w:val="99"/>
    <w:semiHidden/>
    <w:unhideWhenUsed/>
    <w:rsid w:val="008C5D69"/>
    <w:rPr>
      <w:color w:val="605E5C"/>
      <w:shd w:val="clear" w:color="auto" w:fill="E1DFDD"/>
    </w:rPr>
  </w:style>
  <w:style w:type="table" w:styleId="Tablaconcuadrcula4-nfasis1">
    <w:name w:val="Grid Table 4 Accent 1"/>
    <w:basedOn w:val="Tablanormal"/>
    <w:uiPriority w:val="49"/>
    <w:rsid w:val="008C5D6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xico.justia.com/derecho-mercantil/comercio-electronico/preguntas-y-respuestas-sobre-comercio-electronico/?utm_source=chatgpt.com" TargetMode="External"/><Relationship Id="rId13" Type="http://schemas.openxmlformats.org/officeDocument/2006/relationships/hyperlink" Target="https://mexico.justia.com/derecho-mercantil/comercio-electronico/?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putados.gob.mx/LeyesBiblio/pdf/LFEA_200521.pdf?utm_source=chatgpt.com" TargetMode="External"/><Relationship Id="rId12" Type="http://schemas.openxmlformats.org/officeDocument/2006/relationships/hyperlink" Target="https://es.wikipedia.org/wiki/Ley_Federal_de_Transparencia_y_Acceso_a_la_Informaci%C3%B3n_P%C3%BAblica_Gubernamental?utm_source=chatgpt.com" TargetMode="External"/><Relationship Id="rId17" Type="http://schemas.openxmlformats.org/officeDocument/2006/relationships/hyperlink" Target="https://prestashop.es/blog/legal-es/requisitos-legales-que-todo-ecommerce-debe-cumplir-en-mexico/?utm_source=chatgpt.com" TargetMode="External"/><Relationship Id="rId2" Type="http://schemas.openxmlformats.org/officeDocument/2006/relationships/styles" Target="styles.xml"/><Relationship Id="rId16" Type="http://schemas.openxmlformats.org/officeDocument/2006/relationships/hyperlink" Target="https://www.salesforce.com/mx/blog/ley-de-proteccion-de-datos-personales/?utm_source=chatgpt.com" TargetMode="External"/><Relationship Id="rId1" Type="http://schemas.openxmlformats.org/officeDocument/2006/relationships/numbering" Target="numbering.xml"/><Relationship Id="rId6" Type="http://schemas.openxmlformats.org/officeDocument/2006/relationships/hyperlink" Target="https://www.dlapiperdataprotection.com/index.html?c=MX&amp;t=about&amp;utm_source=chatgpt.com" TargetMode="External"/><Relationship Id="rId11" Type="http://schemas.openxmlformats.org/officeDocument/2006/relationships/hyperlink" Target="https://marketb2b.mx/Portal/ComoVender/37/Ley-de-Comercio-Electronico-en-Mexico-Temas-Prncipales?utm_source=chatgpt.com" TargetMode="External"/><Relationship Id="rId5" Type="http://schemas.openxmlformats.org/officeDocument/2006/relationships/hyperlink" Target="https://www.diputados.gob.mx/LeyesBiblio/pdf/LFPDPPP.pdf?utm_source=chatgpt.com" TargetMode="External"/><Relationship Id="rId15" Type="http://schemas.openxmlformats.org/officeDocument/2006/relationships/hyperlink" Target="https://www.salesforce.com/mx/blog/ley-de-proteccion-de-datos-personales/?utm_source=chatgpt.com" TargetMode="External"/><Relationship Id="rId10" Type="http://schemas.openxmlformats.org/officeDocument/2006/relationships/hyperlink" Target="https://www.nyce.org.mx/nmx-coe-001-scfi-2018-comercio-electronico-disposiciones-a-las-que-se-sujetaran-aquellas-personas-que-ofrezcan-comercialicen-o-vendan-bienes-productos-o-servicios/?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xico.justia.com/derecho-mercantil/comercio-electronico/?utm_source=chatgpt.com" TargetMode="External"/><Relationship Id="rId14" Type="http://schemas.openxmlformats.org/officeDocument/2006/relationships/hyperlink" Target="https://mexico.justia.com/derecho-mercantil/comercio-electronico/?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Pages>
  <Words>1496</Words>
  <Characters>8233</Characters>
  <Application>Microsoft Office Word</Application>
  <DocSecurity>0</DocSecurity>
  <Lines>68</Lines>
  <Paragraphs>19</Paragraphs>
  <ScaleCrop>false</ScaleCrop>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Vergara</dc:creator>
  <cp:keywords/>
  <dc:description/>
  <cp:lastModifiedBy>Berenice Serrano</cp:lastModifiedBy>
  <cp:revision>3</cp:revision>
  <dcterms:created xsi:type="dcterms:W3CDTF">2025-11-11T01:02:00Z</dcterms:created>
  <dcterms:modified xsi:type="dcterms:W3CDTF">2025-11-11T01:09:00Z</dcterms:modified>
</cp:coreProperties>
</file>